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b w:val="1"/>
          <w:sz w:val="32"/>
          <w:szCs w:val="32"/>
          <w:rtl w:val="0"/>
        </w:rPr>
        <w:t xml:space="preserve">South Molton Community Primary School</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b w:val="1"/>
          <w:sz w:val="32"/>
          <w:szCs w:val="32"/>
          <w:rtl w:val="0"/>
        </w:rPr>
        <w:t xml:space="preserve">Job Description</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b w:val="1"/>
          <w:sz w:val="32"/>
          <w:szCs w:val="32"/>
          <w:rtl w:val="0"/>
        </w:rPr>
        <w:t xml:space="preserve">Teaching Assistant</w:t>
      </w:r>
      <w:r w:rsidDel="00000000" w:rsidR="00000000" w:rsidRPr="00000000">
        <w:rPr>
          <w:rtl w:val="0"/>
        </w:rPr>
      </w:r>
    </w:p>
    <w:p w:rsidR="00000000" w:rsidDel="00000000" w:rsidP="00000000" w:rsidRDefault="00000000" w:rsidRPr="00000000" w14:paraId="00000004">
      <w:pPr>
        <w:pStyle w:val="Heading1"/>
        <w:keepLines w:val="0"/>
        <w:pageBreakBefore w:val="0"/>
        <w:spacing w:after="0" w:before="0" w:line="240" w:lineRule="auto"/>
        <w:ind w:left="720" w:firstLine="72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TITLE</w:t>
        <w:tab/>
        <w:tab/>
        <w:tab/>
        <w:tab/>
      </w:r>
      <w:r w:rsidDel="00000000" w:rsidR="00000000" w:rsidRPr="00000000">
        <w:rPr>
          <w:rFonts w:ascii="Century Gothic" w:cs="Century Gothic" w:eastAsia="Century Gothic" w:hAnsi="Century Gothic"/>
          <w:sz w:val="24"/>
          <w:szCs w:val="24"/>
          <w:rtl w:val="0"/>
        </w:rPr>
        <w:t xml:space="preserve">Teaching Assistant</w:t>
      </w:r>
      <w:r w:rsidDel="00000000" w:rsidR="00000000" w:rsidRPr="00000000">
        <w:rPr>
          <w:rtl w:val="0"/>
        </w:rPr>
      </w:r>
    </w:p>
    <w:p w:rsidR="00000000" w:rsidDel="00000000" w:rsidP="00000000" w:rsidRDefault="00000000" w:rsidRPr="00000000" w14:paraId="00000008">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LINE MANAGER</w:t>
        <w:tab/>
        <w:tab/>
      </w:r>
      <w:r w:rsidDel="00000000" w:rsidR="00000000" w:rsidRPr="00000000">
        <w:rPr>
          <w:rFonts w:ascii="Century Gothic" w:cs="Century Gothic" w:eastAsia="Century Gothic" w:hAnsi="Century Gothic"/>
          <w:sz w:val="24"/>
          <w:szCs w:val="24"/>
          <w:rtl w:val="0"/>
        </w:rPr>
        <w:t xml:space="preserve">Headteacher</w:t>
      </w:r>
    </w:p>
    <w:p w:rsidR="00000000" w:rsidDel="00000000" w:rsidP="00000000" w:rsidRDefault="00000000" w:rsidRPr="00000000" w14:paraId="0000000A">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GRADE</w:t>
      </w:r>
      <w:r w:rsidDel="00000000" w:rsidR="00000000" w:rsidRPr="00000000">
        <w:rPr>
          <w:rFonts w:ascii="Century Gothic" w:cs="Century Gothic" w:eastAsia="Century Gothic" w:hAnsi="Century Gothic"/>
          <w:sz w:val="24"/>
          <w:szCs w:val="24"/>
          <w:rtl w:val="0"/>
        </w:rPr>
        <w:tab/>
        <w:tab/>
        <w:tab/>
        <w:t xml:space="preserve">C</w:t>
      </w:r>
      <w:r w:rsidDel="00000000" w:rsidR="00000000" w:rsidRPr="00000000">
        <w:rPr>
          <w:rtl w:val="0"/>
        </w:rPr>
      </w:r>
    </w:p>
    <w:p w:rsidR="00000000" w:rsidDel="00000000" w:rsidP="00000000" w:rsidRDefault="00000000" w:rsidRPr="00000000" w14:paraId="0000000C">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Job Purpose including main duties and responsibilities:</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following is an outline of the range of duties that can be expected of Teaching Assistants either in one or several classes as directed by the Headteacher. It is not a comprehensive or exclusive list and duties may be varied from time to time depending on the needs of the job. To work under the instruction guidance of teaching/senior staff to undertake work/care/support programmes to raise the learning and attainment of pupils while also promoting their independence, self-esteem and social inclusion to enable access to learning for pupils and to assist the teacher in the management of pupils and the classroom. Work may be carried out in the classroom or may regularly take place outside the main teaching area.</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This role requires the ability to fulfil all spoken aspects of the role with confidence and fluency in English.</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Main duties and responsibilities:</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 work under instruction/guidance to enable access to learning by:</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Attending to the welfare and personal care of pupils including those with special educational needs</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Delivering pre-determined learning/care/support programmes</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Implementing literacy/numeracy programmes</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Assisting with the planning cycle</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Undertaking general clerical/administrative support for the teacher/department</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DUTIES</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Support the teacher by:</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Creating and maintaining a purposeful, orderly and supportive environment, in accordance with lesson plans</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Assisting with the display of pupils’ work</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Using strategies, in liaison with the teacher, to support pupils to achieve learning goals</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Assisting with the planning of learning activities on a regular basis</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Monitoring pupils’ responses to learning activities and accurately recording achievement/progress as directed</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Providing detailed and regular feedback to teachers on pupils’ achievement, progress, problems etc.</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Promoting good pupil behaviour, dealing promptly with conflict and incidents in line with established policy and encouraging pupils to take responsibility for their own behaviour</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Establishing constructive relationships with parents/carers and where appropriate participating in feedback sessions with parents alongside the teacher</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Administering routine tests, invigilating exams and undertaking routine marking of pupils’ work</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Providing clerical/administrative support e.g. photocopying, typing, filing, money, administration of course work etc.</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Supporting pupils by:</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Supervising and providing particular support for pupils, including those with special needs, ensuring their safety and access to learning activities</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Assisting with the development and implementation of Individual Education/Behaviour Plans and Personal Care Programmes</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Establishing constructive relationships with pupils and interacting with them according to individual needs</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Promoting the inclusion and acceptance of all pupils</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Encouraging pupils to interact with others and to engage in activities led by the teacher</w:t>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Setting challenging and demanding expectations and promoting self-esteem and independence</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Providing feedback to pupils in relation to progress and achievement under the guidance of the teacher</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Support the curriculum by:</w:t>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Undertaking structured and agreed learning activities/teaching programmes and adjusting activities according to pupil responses</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Undertaking programmes linked to local and national learning strategies e.g. literacy, numeracy, KS3, early years, recording achievement and progress and feeding back to the teacher</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Supporting the use of ICT in learning activities and developing pupils competence and independence in its use</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Preparing, maintaining and using equipment/resources required to meet the lesson plans/relevant learning activity and assisting pupils in their use</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Support the school by:</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Being aware of and complying with policies and procedures relating to child protection, health, safety and security, confidentiality and data protection, and reporting all concerns to an appropriate person</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Being aware of and supporting difference and ensuring all pupils have equal access to opportunities to learn and develop</w:t>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Contributing to the overall ethos/work/aims of the school</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Appreciating and supporting the role of other professionals</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Attending relevant meetings as required</w:t>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Participating in training and other learning activities and performance development as required</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Assisting with the supervision of pupils out of lesson times, including before and after school and at lunchtimes as required</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Accompanying teaching staff and pupils on visits, trips and out of school activities as required and taking responsibility for a group under the supervision of the teacher</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This document outlines the duties for the time being to indicate the level of responsibility. It is not a comprehensive or exclusive list and the duties may be varied from time to time w</w:t>
      </w:r>
    </w:p>
    <w:p w:rsidR="00000000" w:rsidDel="00000000" w:rsidP="00000000" w:rsidRDefault="00000000" w:rsidRPr="00000000" w14:paraId="0000003A">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B">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Date: …………………………………………………..</w:t>
      </w:r>
    </w:p>
    <w:p w:rsidR="00000000" w:rsidDel="00000000" w:rsidP="00000000" w:rsidRDefault="00000000" w:rsidRPr="00000000" w14:paraId="0000003C">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D">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Signatures:</w:t>
      </w:r>
    </w:p>
    <w:p w:rsidR="00000000" w:rsidDel="00000000" w:rsidP="00000000" w:rsidRDefault="00000000" w:rsidRPr="00000000" w14:paraId="0000003E">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Manager…………………………………………….</w:t>
      </w:r>
    </w:p>
    <w:p w:rsidR="00000000" w:rsidDel="00000000" w:rsidP="00000000" w:rsidRDefault="00000000" w:rsidRPr="00000000" w14:paraId="0000003F">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Postholder…….…………………………………….</w:t>
      </w:r>
      <w:r w:rsidDel="00000000" w:rsidR="00000000" w:rsidRPr="00000000">
        <w:rPr>
          <w:rtl w:val="0"/>
        </w:rPr>
      </w:r>
    </w:p>
    <w:p w:rsidR="00000000" w:rsidDel="00000000" w:rsidP="00000000" w:rsidRDefault="00000000" w:rsidRPr="00000000" w14:paraId="00000040">
      <w:pPr>
        <w:pageBreakBefore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sectPr>
      <w:headerReference r:id="rId6" w:type="default"/>
      <w:pgSz w:h="16834" w:w="11909" w:orient="portrait"/>
      <w:pgMar w:bottom="1440" w:top="1440" w:left="708.6614173228347" w:right="548.7401574803164" w:header="199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5438775</wp:posOffset>
          </wp:positionH>
          <wp:positionV relativeFrom="paragraph">
            <wp:posOffset>-1072561</wp:posOffset>
          </wp:positionV>
          <wp:extent cx="1261745" cy="12617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1745" cy="12617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