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84972" cy="323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84972" cy="3238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972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FIRST HALF TERM AUTUMN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84972" cy="323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84972" cy="3238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972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EXTENDED SCHOOLS CARE BOOKING FORM –  FIRST HALF TERM AUTUMN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£3.00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£5.50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made in advance.</w:t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sq3mUgFDTRraDycj5NmRlDDgQ==">CgMxLjA4AHIhMXBUM2dPWnJTd0dDUDd0NUdXLVFMcFZrSVdKQnpyUjUz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